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59874">
      <w:pPr>
        <w:pStyle w:val="16"/>
        <w:jc w:val="center"/>
        <w:rPr>
          <w:rFonts w:ascii="宋体" w:hAnsi="宋体" w:eastAsia="宋体" w:cs="宋体"/>
          <w:i w:val="0"/>
          <w:strike w:val="0"/>
          <w:color w:val="000000"/>
          <w:sz w:val="44"/>
          <w:u w:val="none"/>
        </w:rPr>
      </w:pPr>
      <w:r>
        <w:rPr>
          <w:rFonts w:hint="eastAsia" w:ascii="宋体" w:hAnsi="宋体" w:eastAsia="宋体" w:cs="宋体"/>
          <w:i w:val="0"/>
          <w:strike w:val="0"/>
          <w:color w:val="000000"/>
          <w:sz w:val="44"/>
          <w:u w:val="none"/>
          <w:lang w:eastAsia="zh-CN"/>
        </w:rPr>
        <w:t>安师大附属肥东实验中学微机室静电地板改造</w:t>
      </w:r>
      <w:r>
        <w:rPr>
          <w:rFonts w:ascii="宋体" w:hAnsi="宋体" w:eastAsia="宋体" w:cs="宋体"/>
          <w:i w:val="0"/>
          <w:strike w:val="0"/>
          <w:color w:val="000000"/>
          <w:sz w:val="44"/>
          <w:u w:val="none"/>
        </w:rPr>
        <w:t>项目招标工程量清单、最高投标限价编制补疑1</w:t>
      </w:r>
    </w:p>
    <w:p w14:paraId="53924E0F">
      <w:pPr>
        <w:snapToGrid w:val="0"/>
        <w:spacing w:before="0" w:after="0" w:line="560" w:lineRule="exact"/>
        <w:ind w:left="0" w:right="0" w:firstLine="880" w:firstLineChars="200"/>
        <w:jc w:val="center"/>
      </w:pPr>
      <w:r>
        <w:rPr>
          <w:rFonts w:ascii="宋体" w:hAnsi="宋体" w:eastAsia="宋体" w:cs="宋体"/>
          <w:i w:val="0"/>
          <w:strike w:val="0"/>
          <w:color w:val="000000"/>
          <w:sz w:val="44"/>
          <w:u w:val="none"/>
        </w:rPr>
        <w:t>项目编号：</w:t>
      </w:r>
    </w:p>
    <w:p w14:paraId="510E4AE1">
      <w:pPr>
        <w:snapToGrid w:val="0"/>
        <w:spacing w:before="0" w:after="0" w:line="560" w:lineRule="exact"/>
        <w:ind w:left="0" w:right="0"/>
        <w:jc w:val="both"/>
        <w:rPr>
          <w:rFonts w:ascii="仿宋" w:hAnsi="仿宋" w:eastAsia="仿宋" w:cs="仿宋"/>
        </w:rPr>
      </w:pPr>
      <w:r>
        <w:rPr>
          <w:rFonts w:ascii="仿宋" w:hAnsi="仿宋" w:eastAsia="仿宋" w:cs="仿宋"/>
          <w:i w:val="0"/>
          <w:strike w:val="0"/>
          <w:color w:val="000000"/>
          <w:sz w:val="28"/>
          <w:u w:val="none"/>
        </w:rPr>
        <w:t>一、重要提示</w:t>
      </w:r>
    </w:p>
    <w:p w14:paraId="0520DE3F">
      <w:pPr>
        <w:snapToGrid/>
        <w:spacing w:before="0" w:after="0" w:line="240" w:lineRule="auto"/>
        <w:ind w:left="0" w:right="0" w:firstLine="560" w:firstLineChars="200"/>
        <w:jc w:val="left"/>
        <w:rPr>
          <w:rFonts w:ascii="仿宋" w:hAnsi="仿宋" w:eastAsia="仿宋" w:cs="仿宋"/>
        </w:rPr>
      </w:pPr>
      <w:r>
        <w:rPr>
          <w:rFonts w:ascii="仿宋" w:hAnsi="仿宋" w:eastAsia="仿宋" w:cs="仿宋"/>
          <w:i w:val="0"/>
          <w:strike w:val="0"/>
          <w:color w:val="000000"/>
          <w:sz w:val="28"/>
          <w:u w:val="none"/>
        </w:rPr>
        <w:t>本工程措施项目费费率、企业管理费费率、利润费率、不可竞争费费率按“</w:t>
      </w:r>
      <w:r>
        <w:rPr>
          <w:rFonts w:ascii="仿宋" w:hAnsi="仿宋" w:eastAsia="仿宋" w:cs="仿宋"/>
          <w:i w:val="0"/>
          <w:strike w:val="0"/>
          <w:color w:val="000000"/>
          <w:sz w:val="28"/>
          <w:u w:val="single"/>
        </w:rPr>
        <w:t xml:space="preserve"> 建筑工程</w:t>
      </w:r>
      <w:r>
        <w:rPr>
          <w:rFonts w:ascii="仿宋" w:hAnsi="仿宋" w:eastAsia="仿宋" w:cs="仿宋"/>
          <w:i w:val="0"/>
          <w:strike w:val="0"/>
          <w:color w:val="000000"/>
          <w:sz w:val="28"/>
          <w:u w:val="none"/>
        </w:rPr>
        <w:t>”中费率计取。</w:t>
      </w:r>
    </w:p>
    <w:p w14:paraId="054B1EB7">
      <w:pPr>
        <w:snapToGrid w:val="0"/>
        <w:spacing w:before="0" w:after="0" w:line="560" w:lineRule="exact"/>
        <w:ind w:left="0" w:right="0"/>
        <w:jc w:val="both"/>
      </w:pPr>
      <w:r>
        <w:rPr>
          <w:rFonts w:ascii="黑体" w:hAnsi="黑体" w:eastAsia="黑体" w:cs="黑体"/>
          <w:i w:val="0"/>
          <w:strike w:val="0"/>
          <w:color w:val="000000"/>
          <w:sz w:val="28"/>
          <w:u w:val="none"/>
        </w:rPr>
        <w:t>二、招标需求</w:t>
      </w:r>
    </w:p>
    <w:p w14:paraId="3B59A6A6">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（一）招标范围：</w:t>
      </w:r>
    </w:p>
    <w:p w14:paraId="4B57213A">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本项目分为1个标段，</w:t>
      </w:r>
      <w:r>
        <w:rPr>
          <w:rFonts w:ascii="仿宋" w:hAnsi="仿宋" w:eastAsia="仿宋" w:cs="仿宋"/>
          <w:i w:val="0"/>
          <w:strike w:val="0"/>
          <w:color w:val="333333"/>
          <w:spacing w:val="0"/>
          <w:sz w:val="28"/>
          <w:u w:val="none"/>
          <w:shd w:val="clear" w:color="auto" w:fill="FFFFFF"/>
        </w:rPr>
        <w:t>项目主要建设内容包括</w:t>
      </w:r>
      <w:r>
        <w:rPr>
          <w:rFonts w:hint="eastAsia" w:ascii="仿宋" w:hAnsi="仿宋" w:eastAsia="仿宋" w:cs="仿宋"/>
          <w:i w:val="0"/>
          <w:strike w:val="0"/>
          <w:color w:val="333333"/>
          <w:spacing w:val="0"/>
          <w:sz w:val="28"/>
          <w:u w:val="none"/>
          <w:shd w:val="clear" w:color="auto" w:fill="FFFFFF"/>
          <w:lang w:val="en-US" w:eastAsia="zh-CN"/>
        </w:rPr>
        <w:t>室内地板改造</w:t>
      </w:r>
      <w:r>
        <w:rPr>
          <w:rFonts w:ascii="仿宋" w:hAnsi="仿宋" w:eastAsia="仿宋" w:cs="仿宋"/>
          <w:i w:val="0"/>
          <w:strike w:val="0"/>
          <w:color w:val="333333"/>
          <w:spacing w:val="0"/>
          <w:sz w:val="28"/>
          <w:u w:val="none"/>
          <w:shd w:val="clear" w:color="auto" w:fill="FFFFFF"/>
        </w:rPr>
        <w:t>等工程</w:t>
      </w:r>
      <w:r>
        <w:rPr>
          <w:rFonts w:ascii="仿宋" w:hAnsi="仿宋" w:eastAsia="仿宋" w:cs="仿宋"/>
          <w:i w:val="0"/>
          <w:strike w:val="0"/>
          <w:color w:val="000000"/>
          <w:sz w:val="28"/>
          <w:u w:val="none"/>
        </w:rPr>
        <w:t>。除特殊说明外，图纸设计范围内的所有内容，均按图计入。</w:t>
      </w:r>
    </w:p>
    <w:p w14:paraId="77129177">
      <w:pPr>
        <w:tabs>
          <w:tab w:val="left" w:pos="312"/>
        </w:tabs>
        <w:snapToGrid w:val="0"/>
        <w:spacing w:before="0" w:after="0" w:line="560" w:lineRule="exact"/>
        <w:ind w:left="0" w:right="0" w:firstLine="560" w:firstLineChars="200"/>
        <w:jc w:val="both"/>
      </w:pPr>
      <w:r>
        <w:rPr>
          <w:rFonts w:hint="eastAsia" w:ascii="仿宋" w:hAnsi="仿宋" w:eastAsia="仿宋" w:cs="仿宋"/>
          <w:i w:val="0"/>
          <w:strike w:val="0"/>
          <w:color w:val="000000"/>
          <w:sz w:val="28"/>
          <w:u w:val="none"/>
        </w:rPr>
        <w:t>1.</w:t>
      </w:r>
      <w:r>
        <w:rPr>
          <w:rFonts w:ascii="仿宋" w:hAnsi="仿宋" w:eastAsia="仿宋" w:cs="仿宋"/>
          <w:i w:val="0"/>
          <w:strike w:val="0"/>
          <w:color w:val="000000"/>
          <w:sz w:val="28"/>
          <w:u w:val="none"/>
        </w:rPr>
        <w:t>补充说明：图纸上已设计，但不计入本次招标范围的有：</w:t>
      </w:r>
    </w:p>
    <w:p w14:paraId="25B7AEF7">
      <w:pPr>
        <w:snapToGrid w:val="0"/>
        <w:spacing w:before="0" w:after="0" w:line="560" w:lineRule="exact"/>
        <w:ind w:left="0" w:right="0" w:firstLine="560" w:firstLineChars="200"/>
        <w:jc w:val="both"/>
        <w:rPr>
          <w:rFonts w:hint="eastAsia" w:ascii="仿宋" w:hAnsi="仿宋" w:eastAsia="仿宋" w:cs="仿宋"/>
          <w:i w:val="0"/>
          <w:strike w:val="0"/>
          <w:color w:val="000000"/>
          <w:sz w:val="28"/>
          <w:highlight w:val="none"/>
          <w:u w:val="none"/>
          <w:lang w:val="en-US" w:eastAsia="zh-CN"/>
        </w:rPr>
      </w:pPr>
      <w:r>
        <w:rPr>
          <w:rFonts w:hint="eastAsia" w:ascii="仿宋" w:hAnsi="仿宋" w:eastAsia="仿宋" w:cs="仿宋"/>
          <w:i w:val="0"/>
          <w:strike w:val="0"/>
          <w:color w:val="000000"/>
          <w:sz w:val="28"/>
          <w:highlight w:val="none"/>
          <w:u w:val="none"/>
          <w:lang w:val="en-US" w:eastAsia="zh-CN"/>
        </w:rPr>
        <w:t>无</w:t>
      </w:r>
    </w:p>
    <w:p w14:paraId="068EA80F">
      <w:pPr>
        <w:snapToGrid w:val="0"/>
        <w:spacing w:before="0" w:after="0" w:line="560" w:lineRule="exact"/>
        <w:ind w:left="440" w:leftChars="200" w:right="0"/>
        <w:jc w:val="both"/>
      </w:pPr>
      <w:r>
        <w:rPr>
          <w:rFonts w:ascii="仿宋" w:hAnsi="仿宋" w:eastAsia="仿宋" w:cs="仿宋"/>
          <w:i w:val="0"/>
          <w:strike w:val="0"/>
          <w:color w:val="000000"/>
          <w:sz w:val="28"/>
          <w:u w:val="none"/>
        </w:rPr>
        <w:t>（二）暂定项目：</w:t>
      </w:r>
    </w:p>
    <w:p w14:paraId="0FC406EC">
      <w:pPr>
        <w:snapToGrid w:val="0"/>
        <w:spacing w:before="0" w:after="0" w:line="560" w:lineRule="exact"/>
        <w:ind w:left="0" w:right="0" w:firstLine="560" w:firstLineChars="200"/>
        <w:jc w:val="both"/>
        <w:rPr>
          <w:highlight w:val="none"/>
        </w:rPr>
      </w:pPr>
      <w:r>
        <w:rPr>
          <w:rFonts w:ascii="仿宋" w:hAnsi="仿宋" w:eastAsia="仿宋" w:cs="仿宋"/>
          <w:i w:val="0"/>
          <w:strike w:val="0"/>
          <w:color w:val="000000"/>
          <w:sz w:val="28"/>
          <w:highlight w:val="none"/>
          <w:u w:val="none"/>
        </w:rPr>
        <w:t>1.以下项目以暂定工程量计入分部分项工程量清单，投标人综合考虑报价，标后按实际工程量结算。</w:t>
      </w:r>
    </w:p>
    <w:p w14:paraId="2AB3DFDD">
      <w:pPr>
        <w:snapToGrid w:val="0"/>
        <w:spacing w:before="0" w:after="0" w:line="560" w:lineRule="exact"/>
        <w:ind w:left="0" w:right="0" w:firstLine="560" w:firstLineChars="200"/>
        <w:jc w:val="both"/>
        <w:rPr>
          <w:rFonts w:hint="eastAsia" w:ascii="仿宋" w:hAnsi="仿宋" w:eastAsia="仿宋" w:cs="仿宋"/>
          <w:i w:val="0"/>
          <w:strike w:val="0"/>
          <w:color w:val="000000"/>
          <w:sz w:val="28"/>
          <w:highlight w:val="none"/>
          <w:u w:val="none"/>
          <w:lang w:val="en-US" w:eastAsia="zh-CN"/>
        </w:rPr>
      </w:pPr>
      <w:r>
        <w:rPr>
          <w:rFonts w:hint="eastAsia" w:ascii="仿宋" w:hAnsi="仿宋" w:eastAsia="仿宋" w:cs="仿宋"/>
          <w:i w:val="0"/>
          <w:strike w:val="0"/>
          <w:color w:val="000000"/>
          <w:sz w:val="28"/>
          <w:highlight w:val="none"/>
          <w:u w:val="none"/>
          <w:lang w:val="en-US" w:eastAsia="zh-CN"/>
        </w:rPr>
        <w:t>无</w:t>
      </w:r>
    </w:p>
    <w:p w14:paraId="52CE5F1E">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2.本项目暂列金额为</w:t>
      </w:r>
      <w:r>
        <w:rPr>
          <w:rFonts w:hint="eastAsia" w:ascii="仿宋" w:hAnsi="仿宋" w:eastAsia="仿宋" w:cs="仿宋"/>
          <w:i w:val="0"/>
          <w:strike w:val="0"/>
          <w:color w:val="000000"/>
          <w:sz w:val="28"/>
          <w:u w:val="single"/>
          <w:lang w:val="en-US" w:eastAsia="zh-CN"/>
        </w:rPr>
        <w:t xml:space="preserve">   /</w:t>
      </w:r>
      <w:r>
        <w:rPr>
          <w:rFonts w:ascii="仿宋" w:hAnsi="仿宋" w:eastAsia="仿宋" w:cs="仿宋"/>
          <w:i w:val="0"/>
          <w:strike w:val="0"/>
          <w:color w:val="000000"/>
          <w:sz w:val="28"/>
          <w:u w:val="single"/>
        </w:rPr>
        <w:t xml:space="preserve"> </w:t>
      </w:r>
      <w:r>
        <w:rPr>
          <w:rFonts w:ascii="仿宋" w:hAnsi="仿宋" w:eastAsia="仿宋" w:cs="仿宋"/>
          <w:i w:val="0"/>
          <w:strike w:val="0"/>
          <w:color w:val="000000"/>
          <w:sz w:val="28"/>
          <w:u w:val="none"/>
        </w:rPr>
        <w:t>万元，计入</w:t>
      </w:r>
      <w:r>
        <w:rPr>
          <w:rFonts w:hint="eastAsia" w:ascii="仿宋" w:hAnsi="仿宋" w:eastAsia="仿宋" w:cs="仿宋"/>
          <w:i w:val="0"/>
          <w:strike w:val="0"/>
          <w:color w:val="000000"/>
          <w:sz w:val="28"/>
          <w:u w:val="single"/>
          <w:lang w:val="en-US" w:eastAsia="zh-CN"/>
        </w:rPr>
        <w:t xml:space="preserve">   /   </w:t>
      </w:r>
      <w:r>
        <w:rPr>
          <w:rFonts w:ascii="仿宋" w:hAnsi="仿宋" w:eastAsia="仿宋" w:cs="仿宋"/>
          <w:i w:val="0"/>
          <w:strike w:val="0"/>
          <w:color w:val="000000"/>
          <w:sz w:val="28"/>
          <w:u w:val="none"/>
        </w:rPr>
        <w:t>单位工程其他项目清单，投标人应按招标人所列的金额计入投标总价。</w:t>
      </w:r>
    </w:p>
    <w:p w14:paraId="3EB36A1C">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3.执行暂估价的材料、设备、专业工程及其金额如下：</w:t>
      </w:r>
    </w:p>
    <w:p w14:paraId="33D04E9F">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3.1</w:t>
      </w:r>
      <w:r>
        <w:rPr>
          <w:rFonts w:ascii="仿宋" w:hAnsi="仿宋" w:eastAsia="仿宋" w:cs="仿宋"/>
          <w:i w:val="0"/>
          <w:strike w:val="0"/>
          <w:color w:val="000000"/>
          <w:sz w:val="28"/>
          <w:u w:val="single"/>
        </w:rPr>
        <w:t xml:space="preserve"> 材料</w:t>
      </w:r>
      <w:r>
        <w:rPr>
          <w:rFonts w:ascii="仿宋" w:hAnsi="仿宋" w:eastAsia="仿宋" w:cs="仿宋"/>
          <w:i w:val="0"/>
          <w:strike w:val="0"/>
          <w:color w:val="000000"/>
          <w:sz w:val="28"/>
          <w:u w:val="none"/>
        </w:rPr>
        <w:t>的名称、规格型号、金额；无；</w:t>
      </w:r>
    </w:p>
    <w:p w14:paraId="64FE56FE">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3.2</w:t>
      </w:r>
      <w:r>
        <w:rPr>
          <w:rFonts w:ascii="仿宋" w:hAnsi="仿宋" w:eastAsia="仿宋" w:cs="仿宋"/>
          <w:i w:val="0"/>
          <w:strike w:val="0"/>
          <w:color w:val="000000"/>
          <w:sz w:val="28"/>
          <w:u w:val="single"/>
        </w:rPr>
        <w:t xml:space="preserve"> 设备</w:t>
      </w:r>
      <w:r>
        <w:rPr>
          <w:rFonts w:ascii="仿宋" w:hAnsi="仿宋" w:eastAsia="仿宋" w:cs="仿宋"/>
          <w:i w:val="0"/>
          <w:strike w:val="0"/>
          <w:color w:val="000000"/>
          <w:sz w:val="28"/>
          <w:u w:val="none"/>
        </w:rPr>
        <w:t>的名称、规格型号、金额；无；</w:t>
      </w:r>
    </w:p>
    <w:p w14:paraId="6D8A0ECC">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3.3</w:t>
      </w:r>
      <w:r>
        <w:rPr>
          <w:rFonts w:ascii="仿宋" w:hAnsi="仿宋" w:eastAsia="仿宋" w:cs="仿宋"/>
          <w:i w:val="0"/>
          <w:strike w:val="0"/>
          <w:color w:val="000000"/>
          <w:sz w:val="28"/>
          <w:u w:val="single"/>
        </w:rPr>
        <w:t xml:space="preserve"> 专业</w:t>
      </w:r>
      <w:r>
        <w:rPr>
          <w:rFonts w:ascii="仿宋" w:hAnsi="仿宋" w:eastAsia="仿宋" w:cs="仿宋"/>
          <w:i w:val="0"/>
          <w:strike w:val="0"/>
          <w:color w:val="000000"/>
          <w:sz w:val="28"/>
          <w:u w:val="none"/>
        </w:rPr>
        <w:t>工程名称、工程内容、金额；无；</w:t>
      </w:r>
    </w:p>
    <w:p w14:paraId="523F3BF6">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投标人应按招标人所列的金额计入投标总价。</w:t>
      </w:r>
    </w:p>
    <w:p w14:paraId="13BDB875">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3.4发包人供应材料、工程设备的采购、保管费，最高投标限价中不再另行计取费用，投标人在总报价中综合考虑此费用。</w:t>
      </w:r>
    </w:p>
    <w:p w14:paraId="4D1547DC">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（三）按项列入清单的内容，标后不予调整：</w:t>
      </w:r>
    </w:p>
    <w:p w14:paraId="2DD28F03">
      <w:pPr>
        <w:snapToGrid w:val="0"/>
        <w:spacing w:before="0" w:after="0" w:line="560" w:lineRule="exact"/>
        <w:ind w:left="0" w:right="0" w:firstLine="560" w:firstLineChars="200"/>
        <w:jc w:val="both"/>
        <w:rPr>
          <w:rFonts w:ascii="仿宋" w:hAnsi="仿宋" w:eastAsia="仿宋" w:cs="仿宋"/>
          <w:i w:val="0"/>
          <w:strike w:val="0"/>
          <w:color w:val="000000"/>
          <w:sz w:val="28"/>
          <w:u w:val="none"/>
        </w:rPr>
      </w:pPr>
      <w:r>
        <w:rPr>
          <w:rFonts w:ascii="仿宋" w:hAnsi="仿宋" w:eastAsia="仿宋" w:cs="仿宋"/>
          <w:i w:val="0"/>
          <w:strike w:val="0"/>
          <w:color w:val="000000"/>
          <w:sz w:val="28"/>
          <w:u w:val="none"/>
        </w:rPr>
        <w:t>以下项目按项计入，投标人自行踏勘现场，综合考虑报价，中标后不予调整。</w:t>
      </w:r>
    </w:p>
    <w:p w14:paraId="1B00DF16">
      <w:pPr>
        <w:snapToGrid w:val="0"/>
        <w:spacing w:before="0" w:after="0" w:line="560" w:lineRule="exact"/>
        <w:ind w:left="0" w:right="0" w:firstLine="560" w:firstLineChars="200"/>
        <w:jc w:val="both"/>
        <w:rPr>
          <w:rFonts w:ascii="仿宋" w:hAnsi="仿宋" w:eastAsia="仿宋" w:cs="仿宋"/>
          <w:i w:val="0"/>
          <w:strike w:val="0"/>
          <w:color w:val="000000"/>
          <w:sz w:val="28"/>
          <w:u w:val="none"/>
        </w:rPr>
      </w:pPr>
      <w:r>
        <w:rPr>
          <w:rFonts w:hint="eastAsia" w:ascii="仿宋" w:hAnsi="仿宋" w:eastAsia="仿宋" w:cs="仿宋"/>
          <w:i w:val="0"/>
          <w:strike w:val="0"/>
          <w:color w:val="000000"/>
          <w:sz w:val="28"/>
          <w:highlight w:val="none"/>
          <w:u w:val="none"/>
          <w:lang w:val="en-US" w:eastAsia="zh-CN"/>
        </w:rPr>
        <w:t>无</w:t>
      </w:r>
    </w:p>
    <w:p w14:paraId="0DC467B7">
      <w:pPr>
        <w:numPr>
          <w:ilvl w:val="0"/>
          <w:numId w:val="1"/>
        </w:numPr>
        <w:snapToGrid w:val="0"/>
        <w:spacing w:before="0" w:after="0" w:line="560" w:lineRule="exact"/>
        <w:ind w:left="0" w:right="0" w:firstLine="560" w:firstLineChars="200"/>
        <w:jc w:val="both"/>
        <w:rPr>
          <w:rFonts w:ascii="仿宋" w:hAnsi="仿宋" w:eastAsia="仿宋" w:cs="仿宋"/>
          <w:i w:val="0"/>
          <w:strike w:val="0"/>
          <w:color w:val="000000"/>
          <w:sz w:val="28"/>
          <w:u w:val="none"/>
        </w:rPr>
      </w:pPr>
      <w:r>
        <w:rPr>
          <w:rFonts w:ascii="仿宋" w:hAnsi="仿宋" w:eastAsia="仿宋" w:cs="仿宋"/>
          <w:i w:val="0"/>
          <w:strike w:val="0"/>
          <w:color w:val="000000"/>
          <w:sz w:val="28"/>
          <w:u w:val="none"/>
        </w:rPr>
        <w:t>补充图纸及修改图纸的说明：</w:t>
      </w:r>
    </w:p>
    <w:p w14:paraId="3150D91F">
      <w:pPr>
        <w:snapToGrid w:val="0"/>
        <w:spacing w:before="0" w:after="0" w:line="560" w:lineRule="exact"/>
        <w:ind w:left="0" w:right="0" w:firstLine="560" w:firstLineChars="200"/>
        <w:jc w:val="both"/>
        <w:rPr>
          <w:rFonts w:ascii="仿宋" w:hAnsi="仿宋" w:eastAsia="仿宋" w:cs="仿宋"/>
          <w:i w:val="0"/>
          <w:strike w:val="0"/>
          <w:color w:val="000000"/>
          <w:sz w:val="28"/>
          <w:u w:val="none"/>
        </w:rPr>
      </w:pPr>
      <w:r>
        <w:rPr>
          <w:rFonts w:hint="eastAsia" w:ascii="仿宋" w:hAnsi="仿宋" w:eastAsia="仿宋" w:cs="仿宋"/>
          <w:i w:val="0"/>
          <w:strike w:val="0"/>
          <w:color w:val="000000"/>
          <w:sz w:val="28"/>
          <w:highlight w:val="none"/>
          <w:u w:val="none"/>
          <w:lang w:val="en-US" w:eastAsia="zh-CN"/>
        </w:rPr>
        <w:t>无</w:t>
      </w:r>
    </w:p>
    <w:p w14:paraId="6951DF3F">
      <w:pPr>
        <w:snapToGrid w:val="0"/>
        <w:spacing w:before="0" w:after="0" w:line="560" w:lineRule="exact"/>
        <w:ind w:left="0" w:right="0" w:firstLine="560" w:firstLineChars="200"/>
        <w:jc w:val="both"/>
      </w:pPr>
      <w:r>
        <w:rPr>
          <w:rFonts w:ascii="仿宋" w:hAnsi="仿宋" w:eastAsia="仿宋" w:cs="仿宋"/>
          <w:i w:val="0"/>
          <w:strike w:val="0"/>
          <w:color w:val="000000"/>
          <w:sz w:val="28"/>
          <w:u w:val="none"/>
        </w:rPr>
        <w:t>（五）总承包服务费：详见招标文件。</w:t>
      </w:r>
    </w:p>
    <w:p w14:paraId="46303355">
      <w:pPr>
        <w:snapToGrid w:val="0"/>
        <w:spacing w:before="0" w:after="0" w:line="360" w:lineRule="auto"/>
        <w:ind w:left="0" w:right="0" w:firstLine="560" w:firstLineChars="200"/>
        <w:jc w:val="both"/>
        <w:rPr>
          <w:rFonts w:ascii="仿宋" w:hAnsi="仿宋" w:eastAsia="仿宋" w:cs="仿宋"/>
          <w:i w:val="0"/>
          <w:strike w:val="0"/>
          <w:color w:val="000000"/>
          <w:sz w:val="28"/>
          <w:u w:val="none"/>
        </w:rPr>
      </w:pPr>
      <w:r>
        <w:rPr>
          <w:rFonts w:ascii="仿宋" w:hAnsi="仿宋" w:eastAsia="仿宋" w:cs="仿宋"/>
          <w:i w:val="0"/>
          <w:strike w:val="0"/>
          <w:color w:val="000000"/>
          <w:sz w:val="28"/>
          <w:u w:val="none"/>
        </w:rPr>
        <w:t>（六）温馨提示：投标人投标报价还须仔细阅读本项目招标文件，慎重报价。</w:t>
      </w:r>
    </w:p>
    <w:p w14:paraId="1022883F">
      <w:pPr>
        <w:snapToGrid w:val="0"/>
        <w:spacing w:before="0" w:after="0" w:line="360" w:lineRule="auto"/>
        <w:ind w:left="0" w:right="0" w:firstLine="560" w:firstLineChars="200"/>
        <w:jc w:val="both"/>
      </w:pPr>
      <w:r>
        <w:rPr>
          <w:rFonts w:hint="eastAsia" w:ascii="仿宋" w:hAnsi="仿宋" w:eastAsia="仿宋" w:cs="仿宋"/>
          <w:i w:val="0"/>
          <w:strike w:val="0"/>
          <w:color w:val="000000"/>
          <w:sz w:val="28"/>
          <w:u w:val="none"/>
          <w:lang w:val="en-US" w:eastAsia="zh-CN"/>
        </w:rPr>
        <w:t>1</w:t>
      </w:r>
      <w:r>
        <w:rPr>
          <w:rFonts w:ascii="仿宋" w:hAnsi="仿宋" w:eastAsia="仿宋" w:cs="仿宋"/>
          <w:i w:val="0"/>
          <w:strike w:val="0"/>
          <w:color w:val="000000"/>
          <w:sz w:val="28"/>
          <w:u w:val="none"/>
        </w:rPr>
        <w:t>．本工程中无法用机械施工的部位需人工施工或者人工辅助施工，由投标人勘查现场自行考虑，清单中不单独列项计取，相关费用需包含在投标总价中。</w:t>
      </w:r>
    </w:p>
    <w:p w14:paraId="1D1FC766">
      <w:pPr>
        <w:snapToGrid w:val="0"/>
        <w:spacing w:before="0" w:after="0" w:line="360" w:lineRule="auto"/>
        <w:ind w:left="0" w:right="0" w:firstLine="560" w:firstLineChars="200"/>
        <w:jc w:val="both"/>
      </w:pPr>
      <w:r>
        <w:rPr>
          <w:rFonts w:hint="eastAsia" w:ascii="仿宋" w:hAnsi="仿宋" w:eastAsia="仿宋" w:cs="仿宋"/>
          <w:i w:val="0"/>
          <w:strike w:val="0"/>
          <w:color w:val="000000"/>
          <w:sz w:val="28"/>
          <w:u w:val="none"/>
          <w:lang w:val="en-US" w:eastAsia="zh-CN"/>
        </w:rPr>
        <w:t>2</w:t>
      </w:r>
      <w:r>
        <w:rPr>
          <w:rFonts w:ascii="仿宋" w:hAnsi="仿宋" w:eastAsia="仿宋" w:cs="仿宋"/>
          <w:i w:val="0"/>
          <w:strike w:val="0"/>
          <w:color w:val="000000"/>
          <w:sz w:val="28"/>
          <w:u w:val="none"/>
        </w:rPr>
        <w:t>．</w:t>
      </w:r>
      <w:r>
        <w:rPr>
          <w:rFonts w:hint="eastAsia" w:ascii="仿宋" w:hAnsi="仿宋" w:eastAsia="仿宋" w:cs="仿宋"/>
          <w:i w:val="0"/>
          <w:strike w:val="0"/>
          <w:color w:val="000000"/>
          <w:sz w:val="28"/>
          <w:u w:val="none"/>
        </w:rPr>
        <w:t>部分</w:t>
      </w:r>
      <w:r>
        <w:rPr>
          <w:rFonts w:ascii="仿宋" w:hAnsi="仿宋" w:eastAsia="仿宋" w:cs="仿宋"/>
          <w:i w:val="0"/>
          <w:strike w:val="0"/>
          <w:color w:val="000000"/>
          <w:sz w:val="28"/>
          <w:u w:val="none"/>
        </w:rPr>
        <w:t>进场材料</w:t>
      </w:r>
      <w:r>
        <w:rPr>
          <w:rFonts w:hint="eastAsia" w:ascii="仿宋" w:hAnsi="仿宋" w:eastAsia="仿宋" w:cs="仿宋"/>
          <w:i w:val="0"/>
          <w:strike w:val="0"/>
          <w:color w:val="000000"/>
          <w:sz w:val="28"/>
          <w:u w:val="none"/>
        </w:rPr>
        <w:t>需</w:t>
      </w:r>
      <w:r>
        <w:rPr>
          <w:rFonts w:ascii="仿宋" w:hAnsi="仿宋" w:eastAsia="仿宋" w:cs="仿宋"/>
          <w:i w:val="0"/>
          <w:strike w:val="0"/>
          <w:color w:val="000000"/>
          <w:sz w:val="28"/>
          <w:u w:val="none"/>
        </w:rPr>
        <w:t>考虑二次倒运，倒运距离由投标人结合现场施工条件自行确定，综合考虑报价，清单控制价不再单独列费用，中标后不予调整。</w:t>
      </w:r>
    </w:p>
    <w:p w14:paraId="79534AE2">
      <w:pPr>
        <w:snapToGrid w:val="0"/>
        <w:spacing w:before="0" w:after="0" w:line="360" w:lineRule="auto"/>
        <w:ind w:left="0" w:right="0" w:firstLine="560" w:firstLineChars="200"/>
        <w:jc w:val="both"/>
      </w:pPr>
      <w:r>
        <w:rPr>
          <w:rFonts w:hint="eastAsia" w:ascii="仿宋" w:hAnsi="仿宋" w:eastAsia="仿宋" w:cs="仿宋"/>
          <w:i w:val="0"/>
          <w:strike w:val="0"/>
          <w:color w:val="000000"/>
          <w:sz w:val="28"/>
          <w:u w:val="none"/>
          <w:lang w:val="en-US" w:eastAsia="zh-CN"/>
        </w:rPr>
        <w:t>3</w:t>
      </w:r>
      <w:r>
        <w:rPr>
          <w:rFonts w:ascii="仿宋" w:hAnsi="仿宋" w:eastAsia="仿宋" w:cs="仿宋"/>
          <w:i w:val="0"/>
          <w:strike w:val="0"/>
          <w:color w:val="000000"/>
          <w:sz w:val="28"/>
          <w:u w:val="none"/>
        </w:rPr>
        <w:t>．投标单位应认真详细勘察现场，因场地限制，不具备材料堆场、搭设加工区、搭设办公区、搭设生活区的，投标人在投标时应充分考虑，需将临时设施搭设等的所有相关费用充分考虑到投标报价中，中标以后不再调整。</w:t>
      </w:r>
    </w:p>
    <w:p w14:paraId="091D9E81">
      <w:pPr>
        <w:snapToGrid w:val="0"/>
        <w:spacing w:before="0" w:after="0" w:line="360" w:lineRule="auto"/>
        <w:ind w:left="0" w:right="0" w:firstLine="560" w:firstLineChars="200"/>
        <w:jc w:val="both"/>
      </w:pPr>
      <w:r>
        <w:rPr>
          <w:rFonts w:hint="eastAsia" w:ascii="仿宋" w:hAnsi="仿宋" w:eastAsia="仿宋" w:cs="仿宋"/>
          <w:i w:val="0"/>
          <w:strike w:val="0"/>
          <w:color w:val="000000"/>
          <w:sz w:val="28"/>
          <w:u w:val="none"/>
          <w:lang w:val="en-US" w:eastAsia="zh-CN"/>
        </w:rPr>
        <w:t>4</w:t>
      </w:r>
      <w:r>
        <w:rPr>
          <w:rFonts w:ascii="仿宋" w:hAnsi="仿宋" w:eastAsia="仿宋" w:cs="仿宋"/>
          <w:i w:val="0"/>
          <w:strike w:val="0"/>
          <w:color w:val="000000"/>
          <w:sz w:val="28"/>
          <w:u w:val="none"/>
        </w:rPr>
        <w:t>．施工水电接引费：本项目临时水电接引，满足现场施工要求，临水临电待施工单位进场后由业主单位指定接驳点挂表计量，含变压器购买及架设、报装费、配套杆线以及与供电、供水部门协调开通、挂表、下火以及报装期间、水电报装施工及接引费（含外电维护费），水电接引完成之前的发电机发电等一切费用由投标单位自行踏勘现场后，自行架设，水电接引方案必须符合临时用电相关要求后才可以实施，建设单位会同监管部门定期检查，包括自来水、自发电、供电报装、变压器架设等相关费用，投标人结合设计图纸或自行踏勘现场后综合考虑报价，清单不再单独列项，投标人综合考虑报价，中标后不予调整。</w:t>
      </w:r>
    </w:p>
    <w:p w14:paraId="62C25D6A">
      <w:pPr>
        <w:snapToGrid w:val="0"/>
        <w:spacing w:before="0" w:after="0" w:line="360" w:lineRule="auto"/>
        <w:ind w:left="0" w:right="0" w:firstLine="560" w:firstLineChars="200"/>
        <w:jc w:val="both"/>
        <w:rPr>
          <w:rFonts w:ascii="仿宋" w:hAnsi="仿宋" w:eastAsia="仿宋" w:cs="仿宋"/>
          <w:i w:val="0"/>
          <w:strike w:val="0"/>
          <w:color w:val="000000"/>
          <w:sz w:val="28"/>
          <w:u w:val="none"/>
        </w:rPr>
      </w:pPr>
      <w:r>
        <w:rPr>
          <w:rFonts w:hint="eastAsia" w:ascii="仿宋" w:hAnsi="仿宋" w:eastAsia="仿宋" w:cs="仿宋"/>
          <w:i w:val="0"/>
          <w:strike w:val="0"/>
          <w:color w:val="000000"/>
          <w:sz w:val="28"/>
          <w:u w:val="none"/>
          <w:lang w:val="en-US" w:eastAsia="zh-CN"/>
        </w:rPr>
        <w:t>5</w:t>
      </w:r>
      <w:r>
        <w:rPr>
          <w:rFonts w:ascii="仿宋" w:hAnsi="仿宋" w:eastAsia="仿宋" w:cs="仿宋"/>
          <w:i w:val="0"/>
          <w:strike w:val="0"/>
          <w:color w:val="000000"/>
          <w:sz w:val="28"/>
          <w:u w:val="none"/>
        </w:rPr>
        <w:t>．施工超高及高层增加费：投标人结合设计图纸或自行踏勘现场后综合考虑报价，清单不再单独列项，投标人综合考虑报价，中标后不予调整。</w:t>
      </w:r>
    </w:p>
    <w:p w14:paraId="2FB6DD38">
      <w:pPr>
        <w:snapToGrid w:val="0"/>
        <w:spacing w:before="0" w:after="0" w:line="360" w:lineRule="auto"/>
        <w:ind w:left="0" w:right="0" w:firstLine="560" w:firstLineChars="200"/>
        <w:jc w:val="both"/>
        <w:rPr>
          <w:rFonts w:hint="default"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6.项目施工范围，可能存在杂物或其他物品需要搬离到业主指定地点，且施工前需要对施工区域进行</w:t>
      </w:r>
      <w:r>
        <w:rPr>
          <w:rFonts w:hint="default" w:ascii="仿宋" w:hAnsi="仿宋" w:eastAsia="仿宋" w:cs="仿宋"/>
          <w:i w:val="0"/>
          <w:strike w:val="0"/>
          <w:color w:val="000000"/>
          <w:sz w:val="28"/>
          <w:u w:val="none"/>
          <w:lang w:val="en-US" w:eastAsia="zh-CN"/>
        </w:rPr>
        <w:t>精保洁</w:t>
      </w:r>
      <w:r>
        <w:rPr>
          <w:rFonts w:hint="eastAsia" w:ascii="仿宋" w:hAnsi="仿宋" w:eastAsia="仿宋" w:cs="仿宋"/>
          <w:i w:val="0"/>
          <w:strike w:val="0"/>
          <w:color w:val="000000"/>
          <w:sz w:val="28"/>
          <w:u w:val="none"/>
          <w:lang w:val="en-US" w:eastAsia="zh-CN"/>
        </w:rPr>
        <w:t>，</w:t>
      </w:r>
      <w:r>
        <w:rPr>
          <w:rFonts w:hint="default" w:ascii="仿宋" w:hAnsi="仿宋" w:eastAsia="仿宋" w:cs="仿宋"/>
          <w:i w:val="0"/>
          <w:strike w:val="0"/>
          <w:color w:val="000000"/>
          <w:sz w:val="28"/>
          <w:u w:val="none"/>
          <w:lang w:val="en-US" w:eastAsia="zh-CN"/>
        </w:rPr>
        <w:t>清单不单独列项，投标人综合考虑</w:t>
      </w:r>
      <w:r>
        <w:rPr>
          <w:rFonts w:hint="eastAsia" w:ascii="仿宋" w:hAnsi="仿宋" w:eastAsia="仿宋" w:cs="仿宋"/>
          <w:i w:val="0"/>
          <w:strike w:val="0"/>
          <w:color w:val="000000"/>
          <w:sz w:val="28"/>
          <w:u w:val="none"/>
          <w:lang w:val="en-US" w:eastAsia="zh-CN"/>
        </w:rPr>
        <w:t>，标后不予调整。</w:t>
      </w:r>
    </w:p>
    <w:p w14:paraId="2709E0F2">
      <w:pPr>
        <w:snapToGrid w:val="0"/>
        <w:spacing w:before="0" w:after="0" w:line="360" w:lineRule="auto"/>
        <w:ind w:left="0" w:right="0" w:firstLine="560" w:firstLineChars="200"/>
        <w:jc w:val="both"/>
      </w:pPr>
      <w:r>
        <w:rPr>
          <w:rFonts w:hint="eastAsia" w:ascii="仿宋" w:hAnsi="仿宋" w:eastAsia="仿宋" w:cs="仿宋"/>
          <w:i w:val="0"/>
          <w:strike w:val="0"/>
          <w:color w:val="000000"/>
          <w:sz w:val="28"/>
          <w:u w:val="none"/>
          <w:lang w:val="en-US" w:eastAsia="zh-CN"/>
        </w:rPr>
        <w:t>7．建筑改造工程现状房屋对施工影响费用及成品保护：施工过程中对现有的建筑物、构筑物、内外墙面、屋面、内外墙处空调、管道、杆线、门窗、地下管线等进行成品保护，施工中若有破损，须无偿恢复原样；以上费</w:t>
      </w:r>
      <w:r>
        <w:rPr>
          <w:rFonts w:ascii="仿宋" w:hAnsi="仿宋" w:eastAsia="仿宋" w:cs="仿宋"/>
          <w:i w:val="0"/>
          <w:strike w:val="0"/>
          <w:color w:val="000000"/>
          <w:sz w:val="28"/>
          <w:u w:val="none"/>
        </w:rPr>
        <w:t>用清单控制价不再单独列费用，投标人结合设计图纸自行踏勘现场后综合考虑报价，一次性包死，结算时不再调整。</w:t>
      </w:r>
    </w:p>
    <w:p w14:paraId="336BF6E5">
      <w:pPr>
        <w:snapToGrid w:val="0"/>
        <w:spacing w:before="0" w:after="0" w:line="360" w:lineRule="auto"/>
        <w:ind w:left="0" w:right="0" w:firstLine="560" w:firstLineChars="200"/>
        <w:jc w:val="both"/>
        <w:rPr>
          <w:rFonts w:hint="eastAsia"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8</w:t>
      </w:r>
      <w:r>
        <w:rPr>
          <w:rFonts w:ascii="仿宋" w:hAnsi="仿宋" w:eastAsia="仿宋" w:cs="仿宋"/>
          <w:i w:val="0"/>
          <w:strike w:val="0"/>
          <w:color w:val="000000"/>
          <w:sz w:val="28"/>
          <w:u w:val="none"/>
        </w:rPr>
        <w:t>．墙面施工时需对周边事物、原门窗等构件进行保护措施，费用包含在投标报价中，中标后不予调整，清单不单独列项。</w:t>
      </w:r>
    </w:p>
    <w:p w14:paraId="551B4D87">
      <w:pPr>
        <w:snapToGrid w:val="0"/>
        <w:spacing w:before="0" w:after="0" w:line="360" w:lineRule="auto"/>
        <w:ind w:left="0" w:right="0" w:firstLine="560" w:firstLineChars="200"/>
        <w:jc w:val="both"/>
        <w:rPr>
          <w:rFonts w:hint="default"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9.施工现场交通疏导及安设安全警示设施:施工现场交通疏导及安设安全警示设施(包含业主要求所有要求设施)，投标人结合设计图纸或自行踏勘现场后综合考虑报价，清单不再单独列项，投标人综合考虑报价，中标后不予调整。</w:t>
      </w:r>
    </w:p>
    <w:p w14:paraId="5C6DBF20">
      <w:pPr>
        <w:snapToGrid w:val="0"/>
        <w:spacing w:before="0" w:after="0" w:line="360" w:lineRule="auto"/>
        <w:ind w:left="0" w:right="0" w:firstLine="560" w:firstLineChars="200"/>
        <w:jc w:val="both"/>
        <w:rPr>
          <w:rFonts w:hint="default"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10.</w:t>
      </w:r>
      <w:r>
        <w:rPr>
          <w:rFonts w:hint="default" w:ascii="仿宋" w:hAnsi="仿宋" w:eastAsia="仿宋" w:cs="仿宋"/>
          <w:i w:val="0"/>
          <w:strike w:val="0"/>
          <w:color w:val="000000"/>
          <w:sz w:val="28"/>
          <w:u w:val="none"/>
          <w:lang w:val="en-US" w:eastAsia="zh-CN"/>
        </w:rPr>
        <w:t>施工单位中标后需无条件配合业主办理施工许可证直至竣工备案结束的一切相关手续所产生的费用，投标人综合考虑在投标报价中，中标后不予调整，清单中不单独列项。</w:t>
      </w:r>
    </w:p>
    <w:p w14:paraId="1EB822E8">
      <w:pPr>
        <w:snapToGrid w:val="0"/>
        <w:spacing w:before="0" w:after="0" w:line="360" w:lineRule="auto"/>
        <w:ind w:left="0" w:right="0" w:firstLine="560" w:firstLineChars="200"/>
        <w:jc w:val="both"/>
        <w:rPr>
          <w:rFonts w:hint="default"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11.</w:t>
      </w:r>
      <w:r>
        <w:rPr>
          <w:rFonts w:hint="default" w:ascii="仿宋" w:hAnsi="仿宋" w:eastAsia="仿宋" w:cs="仿宋"/>
          <w:i w:val="0"/>
          <w:strike w:val="0"/>
          <w:color w:val="000000"/>
          <w:sz w:val="28"/>
          <w:u w:val="none"/>
          <w:lang w:val="en-US" w:eastAsia="zh-CN"/>
        </w:rPr>
        <w:t>各类材料有品牌要求，样品需经业主认可后方可用于本工程施工</w:t>
      </w:r>
      <w:r>
        <w:rPr>
          <w:rFonts w:hint="eastAsia" w:ascii="仿宋" w:hAnsi="仿宋" w:eastAsia="仿宋" w:cs="仿宋"/>
          <w:i w:val="0"/>
          <w:strike w:val="0"/>
          <w:color w:val="000000"/>
          <w:sz w:val="28"/>
          <w:u w:val="none"/>
          <w:lang w:val="en-US" w:eastAsia="zh-CN"/>
        </w:rPr>
        <w:t>，地面地板</w:t>
      </w:r>
      <w:r>
        <w:rPr>
          <w:rFonts w:hint="default" w:ascii="仿宋" w:hAnsi="仿宋" w:eastAsia="仿宋" w:cs="仿宋"/>
          <w:i w:val="0"/>
          <w:strike w:val="0"/>
          <w:color w:val="000000"/>
          <w:sz w:val="28"/>
          <w:u w:val="none"/>
          <w:lang w:val="en-US" w:eastAsia="zh-CN"/>
        </w:rPr>
        <w:t>等</w:t>
      </w:r>
      <w:r>
        <w:rPr>
          <w:rFonts w:hint="eastAsia" w:ascii="仿宋" w:hAnsi="仿宋" w:eastAsia="仿宋" w:cs="仿宋"/>
          <w:i w:val="0"/>
          <w:strike w:val="0"/>
          <w:color w:val="000000"/>
          <w:sz w:val="28"/>
          <w:u w:val="none"/>
          <w:lang w:val="en-US" w:eastAsia="zh-CN"/>
        </w:rPr>
        <w:t>材料</w:t>
      </w:r>
      <w:r>
        <w:rPr>
          <w:rFonts w:hint="default" w:ascii="仿宋" w:hAnsi="仿宋" w:eastAsia="仿宋" w:cs="仿宋"/>
          <w:i w:val="0"/>
          <w:strike w:val="0"/>
          <w:color w:val="000000"/>
          <w:sz w:val="28"/>
          <w:u w:val="none"/>
          <w:lang w:val="en-US" w:eastAsia="zh-CN"/>
        </w:rPr>
        <w:t>颜色、造型、样式等具体由设计及</w:t>
      </w:r>
      <w:r>
        <w:rPr>
          <w:rFonts w:hint="eastAsia" w:ascii="仿宋" w:hAnsi="仿宋" w:eastAsia="仿宋" w:cs="仿宋"/>
          <w:i w:val="0"/>
          <w:strike w:val="0"/>
          <w:color w:val="000000"/>
          <w:sz w:val="28"/>
          <w:u w:val="none"/>
          <w:lang w:val="en-US" w:eastAsia="zh-CN"/>
        </w:rPr>
        <w:t>建设</w:t>
      </w:r>
      <w:r>
        <w:rPr>
          <w:rFonts w:hint="default" w:ascii="仿宋" w:hAnsi="仿宋" w:eastAsia="仿宋" w:cs="仿宋"/>
          <w:i w:val="0"/>
          <w:strike w:val="0"/>
          <w:color w:val="000000"/>
          <w:sz w:val="28"/>
          <w:u w:val="none"/>
          <w:lang w:val="en-US" w:eastAsia="zh-CN"/>
        </w:rPr>
        <w:t>单位现场确定</w:t>
      </w:r>
      <w:r>
        <w:rPr>
          <w:rFonts w:hint="eastAsia" w:ascii="仿宋" w:hAnsi="仿宋" w:eastAsia="仿宋" w:cs="仿宋"/>
          <w:i w:val="0"/>
          <w:strike w:val="0"/>
          <w:color w:val="000000"/>
          <w:sz w:val="28"/>
          <w:u w:val="none"/>
          <w:lang w:val="en-US" w:eastAsia="zh-CN"/>
        </w:rPr>
        <w:t>，</w:t>
      </w:r>
      <w:r>
        <w:rPr>
          <w:rFonts w:hint="default" w:ascii="仿宋" w:hAnsi="仿宋" w:eastAsia="仿宋" w:cs="仿宋"/>
          <w:i w:val="0"/>
          <w:strike w:val="0"/>
          <w:color w:val="000000"/>
          <w:sz w:val="28"/>
          <w:u w:val="none"/>
          <w:lang w:val="en-US" w:eastAsia="zh-CN"/>
        </w:rPr>
        <w:t>请投标人充分考虑风险，合理报价，费用含在综合报价中</w:t>
      </w:r>
      <w:r>
        <w:rPr>
          <w:rFonts w:hint="eastAsia" w:ascii="仿宋" w:hAnsi="仿宋" w:eastAsia="仿宋" w:cs="仿宋"/>
          <w:i w:val="0"/>
          <w:strike w:val="0"/>
          <w:color w:val="000000"/>
          <w:sz w:val="28"/>
          <w:u w:val="none"/>
          <w:lang w:val="en-US" w:eastAsia="zh-CN"/>
        </w:rPr>
        <w:t>。</w:t>
      </w:r>
    </w:p>
    <w:p w14:paraId="1D7A9632">
      <w:pPr>
        <w:snapToGrid w:val="0"/>
        <w:spacing w:before="0" w:after="0" w:line="360" w:lineRule="auto"/>
        <w:ind w:left="0" w:right="0" w:firstLine="560" w:firstLineChars="200"/>
        <w:jc w:val="both"/>
        <w:rPr>
          <w:rFonts w:hint="eastAsia"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12.</w:t>
      </w:r>
      <w:r>
        <w:rPr>
          <w:rFonts w:hint="default" w:ascii="仿宋" w:hAnsi="仿宋" w:eastAsia="仿宋" w:cs="仿宋"/>
          <w:i w:val="0"/>
          <w:strike w:val="0"/>
          <w:color w:val="000000"/>
          <w:sz w:val="28"/>
          <w:u w:val="none"/>
          <w:lang w:val="en-US" w:eastAsia="zh-CN"/>
        </w:rPr>
        <w:t>本项目竣工验收精保洁，清单不单独列项，投标人综合考虑</w:t>
      </w:r>
      <w:r>
        <w:rPr>
          <w:rFonts w:hint="eastAsia" w:ascii="仿宋" w:hAnsi="仿宋" w:eastAsia="仿宋" w:cs="仿宋"/>
          <w:i w:val="0"/>
          <w:strike w:val="0"/>
          <w:color w:val="000000"/>
          <w:sz w:val="28"/>
          <w:u w:val="none"/>
          <w:lang w:val="en-US" w:eastAsia="zh-CN"/>
        </w:rPr>
        <w:t>，标后不予调整。</w:t>
      </w:r>
    </w:p>
    <w:p w14:paraId="0ED5FB4F">
      <w:pPr>
        <w:snapToGrid w:val="0"/>
        <w:spacing w:before="0" w:after="0" w:line="360" w:lineRule="auto"/>
        <w:ind w:left="0" w:right="0" w:firstLine="560" w:firstLineChars="200"/>
        <w:jc w:val="both"/>
        <w:rPr>
          <w:rFonts w:hint="default" w:ascii="仿宋" w:hAnsi="仿宋" w:eastAsia="仿宋" w:cs="仿宋"/>
          <w:i w:val="0"/>
          <w:strike w:val="0"/>
          <w:color w:val="000000"/>
          <w:sz w:val="28"/>
          <w:u w:val="none"/>
          <w:lang w:val="en-US" w:eastAsia="zh-CN"/>
        </w:rPr>
      </w:pPr>
      <w:r>
        <w:rPr>
          <w:rFonts w:hint="eastAsia" w:ascii="仿宋" w:hAnsi="仿宋" w:eastAsia="仿宋" w:cs="仿宋"/>
          <w:i w:val="0"/>
          <w:strike w:val="0"/>
          <w:color w:val="000000"/>
          <w:sz w:val="28"/>
          <w:u w:val="none"/>
          <w:lang w:val="en-US" w:eastAsia="zh-CN"/>
        </w:rPr>
        <w:t>13.本次招标工程工期紧任务重，施工单位中标进场后需对项目进度计划合理安排。报价时应充分考虑因进度需要所发生的平行施工、夜间加班、人员及机械投入等一切费用的产生，文明施工等费用投入以及维稳协调等产生的费用，后期不得以任何名义要求增加工程造价。</w:t>
      </w:r>
    </w:p>
    <w:p w14:paraId="2DBB6599">
      <w:pPr>
        <w:snapToGrid w:val="0"/>
        <w:spacing w:before="0" w:after="0" w:line="560" w:lineRule="exact"/>
        <w:ind w:left="0" w:right="0"/>
        <w:jc w:val="both"/>
        <w:rPr>
          <w:rFonts w:ascii="黑体" w:hAnsi="黑体" w:eastAsia="黑体" w:cs="黑体"/>
          <w:i w:val="0"/>
          <w:strike w:val="0"/>
          <w:color w:val="000000"/>
          <w:sz w:val="28"/>
          <w:u w:val="none"/>
        </w:rPr>
      </w:pPr>
    </w:p>
    <w:p w14:paraId="6B6C25AA">
      <w:pPr>
        <w:snapToGrid w:val="0"/>
        <w:spacing w:before="0" w:after="0" w:line="560" w:lineRule="exact"/>
        <w:ind w:left="0" w:right="0"/>
        <w:jc w:val="both"/>
      </w:pPr>
      <w:r>
        <w:rPr>
          <w:rFonts w:ascii="黑体" w:hAnsi="黑体" w:eastAsia="黑体" w:cs="黑体"/>
          <w:i w:val="0"/>
          <w:strike w:val="0"/>
          <w:color w:val="000000"/>
          <w:sz w:val="28"/>
          <w:u w:val="none"/>
        </w:rPr>
        <w:t>三、设计文件及技术补充说明</w:t>
      </w:r>
    </w:p>
    <w:p w14:paraId="01E7D6FB">
      <w:pPr>
        <w:pStyle w:val="2"/>
        <w:numPr>
          <w:ilvl w:val="0"/>
          <w:numId w:val="0"/>
        </w:numPr>
        <w:ind w:leftChars="0"/>
        <w:rPr>
          <w:rFonts w:hint="eastAsia" w:ascii="仿宋" w:hAnsi="仿宋" w:eastAsia="仿宋" w:cs="仿宋"/>
          <w:sz w:val="24"/>
        </w:rPr>
      </w:pPr>
    </w:p>
    <w:p w14:paraId="2A4AB279">
      <w:pPr>
        <w:pStyle w:val="2"/>
        <w:numPr>
          <w:ilvl w:val="0"/>
          <w:numId w:val="2"/>
        </w:numPr>
        <w:rPr>
          <w:sz w:val="28"/>
        </w:rPr>
      </w:pPr>
      <w:r>
        <w:rPr>
          <w:rFonts w:hint="eastAsia"/>
          <w:sz w:val="28"/>
          <w:lang w:val="en-US" w:eastAsia="zh-CN"/>
        </w:rPr>
        <w:t>共性问题</w:t>
      </w:r>
    </w:p>
    <w:p w14:paraId="098D9838">
      <w:pPr>
        <w:numPr>
          <w:ilvl w:val="0"/>
          <w:numId w:val="3"/>
        </w:numPr>
        <w:rPr>
          <w:rFonts w:hint="eastAsia" w:ascii="仿宋" w:hAnsi="仿宋" w:eastAsia="仿宋" w:cs="仿宋"/>
          <w:sz w:val="24"/>
        </w:rPr>
      </w:pPr>
      <w:r>
        <w:rPr>
          <w:rFonts w:hint="eastAsia" w:ascii="仿宋" w:hAnsi="仿宋" w:eastAsia="仿宋" w:cs="仿宋"/>
          <w:sz w:val="24"/>
          <w:lang w:val="en-US" w:eastAsia="zh-CN"/>
        </w:rPr>
        <w:t>本项目是否需要智慧工地、非夜间施工照明？</w:t>
      </w:r>
      <w:r>
        <w:rPr>
          <w:rFonts w:hint="eastAsia" w:ascii="仿宋" w:hAnsi="仿宋" w:eastAsia="仿宋" w:cs="仿宋"/>
          <w:sz w:val="24"/>
        </w:rPr>
        <w:t>；</w:t>
      </w:r>
    </w:p>
    <w:p w14:paraId="5D56648D">
      <w:pPr>
        <w:pBdr>
          <w:bottom w:val="none" w:color="auto" w:sz="0" w:space="0"/>
        </w:pBdr>
        <w:ind w:left="336"/>
        <w:rPr>
          <w:rFonts w:hint="eastAsia" w:ascii="仿宋" w:hAnsi="仿宋" w:eastAsia="仿宋" w:cs="仿宋"/>
          <w:color w:val="1450B8"/>
          <w:sz w:val="24"/>
          <w:lang w:val="en-US" w:eastAsia="zh-CN"/>
        </w:rPr>
      </w:pPr>
      <w:r>
        <w:rPr>
          <w:rFonts w:hint="eastAsia" w:ascii="仿宋" w:hAnsi="仿宋" w:eastAsia="仿宋" w:cs="仿宋"/>
          <w:color w:val="1450B8"/>
          <w:sz w:val="24"/>
        </w:rPr>
        <w:t>回复：</w:t>
      </w:r>
      <w:r>
        <w:rPr>
          <w:rFonts w:hint="eastAsia" w:ascii="仿宋" w:hAnsi="仿宋" w:eastAsia="仿宋" w:cs="仿宋"/>
          <w:color w:val="1450B8"/>
          <w:sz w:val="24"/>
          <w:lang w:val="en-US" w:eastAsia="zh-CN"/>
        </w:rPr>
        <w:t>不需要。</w:t>
      </w:r>
      <w:bookmarkStart w:id="0" w:name="_GoBack"/>
      <w:bookmarkEnd w:id="0"/>
    </w:p>
    <w:sectPr>
      <w:pgSz w:w="11906" w:h="16838"/>
      <w:pgMar w:top="1440" w:right="1797" w:bottom="1440" w:left="1797"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onaco">
    <w:altName w:val="Courier New"/>
    <w:panose1 w:val="00000000000000000000"/>
    <w:charset w:val="00"/>
    <w:family w:val="auto"/>
    <w:pitch w:val="default"/>
    <w:sig w:usb0="00000000" w:usb1="00000000" w:usb2="00000000" w:usb3="00000000" w:csb0="00000197"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2CA92"/>
    <w:multiLevelType w:val="singleLevel"/>
    <w:tmpl w:val="C322CA92"/>
    <w:lvl w:ilvl="0" w:tentative="0">
      <w:start w:val="4"/>
      <w:numFmt w:val="chineseCounting"/>
      <w:suff w:val="nothing"/>
      <w:lvlText w:val="（%1）"/>
      <w:lvlJc w:val="left"/>
      <w:rPr>
        <w:rFonts w:hint="eastAsia"/>
      </w:rPr>
    </w:lvl>
  </w:abstractNum>
  <w:abstractNum w:abstractNumId="1">
    <w:nsid w:val="0053208E"/>
    <w:multiLevelType w:val="multilevel"/>
    <w:tmpl w:val="0053208E"/>
    <w:lvl w:ilvl="0" w:tentative="0">
      <w:start w:val="1"/>
      <w:numFmt w:val="chineseCountingThousand"/>
      <w:lvlText w:val="%1、"/>
      <w:lvlJc w:val="left"/>
      <w:pPr>
        <w:ind w:left="462" w:hanging="462"/>
      </w:pPr>
    </w:lvl>
    <w:lvl w:ilvl="1" w:tentative="0">
      <w:start w:val="1"/>
      <w:numFmt w:val="decimal"/>
      <w:lvlText w:val="%2、"/>
      <w:lvlJc w:val="left"/>
      <w:pPr>
        <w:ind w:left="776" w:hanging="336"/>
      </w:pPr>
    </w:lvl>
    <w:lvl w:ilvl="2" w:tentative="0">
      <w:start w:val="1"/>
      <w:numFmt w:val="lowerLetter"/>
      <w:lvlText w:val="%3)"/>
      <w:lvlJc w:val="left"/>
      <w:pPr>
        <w:ind w:left="1216" w:hanging="336"/>
      </w:pPr>
    </w:lvl>
    <w:lvl w:ilvl="3" w:tentative="0">
      <w:start w:val="1"/>
      <w:numFmt w:val="chineseCountingThousand"/>
      <w:lvlText w:val="%4、"/>
      <w:lvlJc w:val="left"/>
      <w:pPr>
        <w:ind w:left="1782" w:hanging="462"/>
      </w:pPr>
    </w:lvl>
    <w:lvl w:ilvl="4" w:tentative="0">
      <w:start w:val="1"/>
      <w:numFmt w:val="decimal"/>
      <w:lvlText w:val="%5、"/>
      <w:lvlJc w:val="left"/>
      <w:pPr>
        <w:ind w:left="2096" w:hanging="336"/>
      </w:pPr>
    </w:lvl>
    <w:lvl w:ilvl="5" w:tentative="0">
      <w:start w:val="1"/>
      <w:numFmt w:val="lowerLetter"/>
      <w:lvlText w:val="%6)"/>
      <w:lvlJc w:val="left"/>
      <w:pPr>
        <w:ind w:left="2536" w:hanging="336"/>
      </w:pPr>
    </w:lvl>
    <w:lvl w:ilvl="6" w:tentative="0">
      <w:start w:val="1"/>
      <w:numFmt w:val="chineseCountingThousand"/>
      <w:lvlText w:val="%7、"/>
      <w:lvlJc w:val="left"/>
      <w:pPr>
        <w:ind w:left="3102" w:hanging="462"/>
      </w:pPr>
    </w:lvl>
    <w:lvl w:ilvl="7" w:tentative="0">
      <w:start w:val="1"/>
      <w:numFmt w:val="decimal"/>
      <w:lvlText w:val="%8、"/>
      <w:lvlJc w:val="left"/>
      <w:pPr>
        <w:ind w:left="3416" w:hanging="336"/>
      </w:pPr>
    </w:lvl>
    <w:lvl w:ilvl="8" w:tentative="0">
      <w:start w:val="1"/>
      <w:numFmt w:val="lowerLetter"/>
      <w:lvlText w:val="%9)"/>
      <w:lvlJc w:val="left"/>
      <w:pPr>
        <w:ind w:left="3856" w:hanging="336"/>
      </w:pPr>
    </w:lvl>
  </w:abstractNum>
  <w:abstractNum w:abstractNumId="2">
    <w:nsid w:val="59ADCABA"/>
    <w:multiLevelType w:val="multilevel"/>
    <w:tmpl w:val="59ADCABA"/>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HorizontalSpacing w:val="220"/>
  <w:drawingGridVerticalSpacing w:val="387"/>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A24D9F"/>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E12F03"/>
    <w:rsid w:val="00F50C8B"/>
    <w:rsid w:val="017B7436"/>
    <w:rsid w:val="01AF2A12"/>
    <w:rsid w:val="01EA636A"/>
    <w:rsid w:val="04243DB5"/>
    <w:rsid w:val="04ED064B"/>
    <w:rsid w:val="07011CC2"/>
    <w:rsid w:val="07644792"/>
    <w:rsid w:val="079923C4"/>
    <w:rsid w:val="08C709AC"/>
    <w:rsid w:val="09284798"/>
    <w:rsid w:val="093179FD"/>
    <w:rsid w:val="095B78B5"/>
    <w:rsid w:val="0A474359"/>
    <w:rsid w:val="0B64718D"/>
    <w:rsid w:val="0C9D4705"/>
    <w:rsid w:val="0CCC4FEA"/>
    <w:rsid w:val="0D4A5ABD"/>
    <w:rsid w:val="0F173A21"/>
    <w:rsid w:val="0F2B6FD9"/>
    <w:rsid w:val="0F4C72CB"/>
    <w:rsid w:val="1025513D"/>
    <w:rsid w:val="10C05E23"/>
    <w:rsid w:val="10E34150"/>
    <w:rsid w:val="12413695"/>
    <w:rsid w:val="12511106"/>
    <w:rsid w:val="12745F08"/>
    <w:rsid w:val="13086650"/>
    <w:rsid w:val="138E0C40"/>
    <w:rsid w:val="15091850"/>
    <w:rsid w:val="16BB6FDC"/>
    <w:rsid w:val="17095D5D"/>
    <w:rsid w:val="183C240D"/>
    <w:rsid w:val="1A0D68B8"/>
    <w:rsid w:val="1AA24D9F"/>
    <w:rsid w:val="1C1B73F4"/>
    <w:rsid w:val="1C5F5D64"/>
    <w:rsid w:val="1C880B0F"/>
    <w:rsid w:val="1D5E3A3C"/>
    <w:rsid w:val="1DB2108B"/>
    <w:rsid w:val="1E0F11DA"/>
    <w:rsid w:val="1E7026C5"/>
    <w:rsid w:val="20FA1CCE"/>
    <w:rsid w:val="222734C1"/>
    <w:rsid w:val="263228A3"/>
    <w:rsid w:val="27FBD2E2"/>
    <w:rsid w:val="284877C3"/>
    <w:rsid w:val="28DA2E89"/>
    <w:rsid w:val="29336C84"/>
    <w:rsid w:val="295959FF"/>
    <w:rsid w:val="29C15A93"/>
    <w:rsid w:val="29DD03DE"/>
    <w:rsid w:val="2A4254F9"/>
    <w:rsid w:val="2A9A62D0"/>
    <w:rsid w:val="2AC05D36"/>
    <w:rsid w:val="2B536BAA"/>
    <w:rsid w:val="2B82123D"/>
    <w:rsid w:val="2BBE2565"/>
    <w:rsid w:val="2C1D4AC2"/>
    <w:rsid w:val="2CAC0896"/>
    <w:rsid w:val="2CED6B8B"/>
    <w:rsid w:val="2D051035"/>
    <w:rsid w:val="2D1F32F4"/>
    <w:rsid w:val="2E3C05AB"/>
    <w:rsid w:val="2EAB0AAB"/>
    <w:rsid w:val="2FF16992"/>
    <w:rsid w:val="302D66A2"/>
    <w:rsid w:val="30C61BCC"/>
    <w:rsid w:val="31DC3095"/>
    <w:rsid w:val="323B4D81"/>
    <w:rsid w:val="32520B96"/>
    <w:rsid w:val="34756830"/>
    <w:rsid w:val="34B70380"/>
    <w:rsid w:val="353C06AF"/>
    <w:rsid w:val="357240D1"/>
    <w:rsid w:val="36C261F6"/>
    <w:rsid w:val="36CD4CAB"/>
    <w:rsid w:val="37BF7375"/>
    <w:rsid w:val="38B60778"/>
    <w:rsid w:val="392E47B3"/>
    <w:rsid w:val="3AE174A3"/>
    <w:rsid w:val="3C85594A"/>
    <w:rsid w:val="3C920BB5"/>
    <w:rsid w:val="3FA07A8C"/>
    <w:rsid w:val="403C5A07"/>
    <w:rsid w:val="404843AC"/>
    <w:rsid w:val="4084115C"/>
    <w:rsid w:val="40D75730"/>
    <w:rsid w:val="410615E7"/>
    <w:rsid w:val="41110C42"/>
    <w:rsid w:val="43446334"/>
    <w:rsid w:val="435C3CCA"/>
    <w:rsid w:val="446077EA"/>
    <w:rsid w:val="44A84E71"/>
    <w:rsid w:val="464255E6"/>
    <w:rsid w:val="477DCE1E"/>
    <w:rsid w:val="47B40579"/>
    <w:rsid w:val="4A5A064E"/>
    <w:rsid w:val="4B027C55"/>
    <w:rsid w:val="4B75001F"/>
    <w:rsid w:val="4BF453E8"/>
    <w:rsid w:val="4C567E51"/>
    <w:rsid w:val="4C687B84"/>
    <w:rsid w:val="4CA637C0"/>
    <w:rsid w:val="4D4B7BC0"/>
    <w:rsid w:val="4DB44A54"/>
    <w:rsid w:val="4F08489B"/>
    <w:rsid w:val="4F0C47F7"/>
    <w:rsid w:val="4F0E67C1"/>
    <w:rsid w:val="4FDB5814"/>
    <w:rsid w:val="502A762A"/>
    <w:rsid w:val="51EB2DE9"/>
    <w:rsid w:val="52923265"/>
    <w:rsid w:val="52C33D66"/>
    <w:rsid w:val="541A5C08"/>
    <w:rsid w:val="54726771"/>
    <w:rsid w:val="54F93A6F"/>
    <w:rsid w:val="5540169E"/>
    <w:rsid w:val="55B1434A"/>
    <w:rsid w:val="55D87B28"/>
    <w:rsid w:val="55DF2C65"/>
    <w:rsid w:val="573E1E21"/>
    <w:rsid w:val="58F512B1"/>
    <w:rsid w:val="5B487E91"/>
    <w:rsid w:val="5B697420"/>
    <w:rsid w:val="5C484E34"/>
    <w:rsid w:val="5CF9550F"/>
    <w:rsid w:val="5D4F626D"/>
    <w:rsid w:val="5DF70D68"/>
    <w:rsid w:val="5EFEBDE8"/>
    <w:rsid w:val="5F474D34"/>
    <w:rsid w:val="622F7BE0"/>
    <w:rsid w:val="67C63C85"/>
    <w:rsid w:val="67FE26B2"/>
    <w:rsid w:val="689B6EBF"/>
    <w:rsid w:val="68CA2609"/>
    <w:rsid w:val="68CC1AED"/>
    <w:rsid w:val="69BB0F42"/>
    <w:rsid w:val="6A637494"/>
    <w:rsid w:val="6BCF62E6"/>
    <w:rsid w:val="6CD3A16D"/>
    <w:rsid w:val="6D535020"/>
    <w:rsid w:val="6DD518E8"/>
    <w:rsid w:val="6E5F273D"/>
    <w:rsid w:val="6E5F49A6"/>
    <w:rsid w:val="6E6935BC"/>
    <w:rsid w:val="6E7D1D3C"/>
    <w:rsid w:val="6F1144D5"/>
    <w:rsid w:val="6F8561D3"/>
    <w:rsid w:val="6FFF37D2"/>
    <w:rsid w:val="70A2089F"/>
    <w:rsid w:val="70DE2EF1"/>
    <w:rsid w:val="71DA4B07"/>
    <w:rsid w:val="724C122A"/>
    <w:rsid w:val="72FF629D"/>
    <w:rsid w:val="74003328"/>
    <w:rsid w:val="76A21419"/>
    <w:rsid w:val="779F004E"/>
    <w:rsid w:val="7C5F4108"/>
    <w:rsid w:val="7D1E1A15"/>
    <w:rsid w:val="7D6D25E7"/>
    <w:rsid w:val="7D9B180E"/>
    <w:rsid w:val="7DC97B8E"/>
    <w:rsid w:val="7EB50B00"/>
    <w:rsid w:val="7F79C282"/>
    <w:rsid w:val="7F7B6CAE"/>
    <w:rsid w:val="7F7D6EC7"/>
    <w:rsid w:val="7F86108A"/>
    <w:rsid w:val="7FBF6DD0"/>
    <w:rsid w:val="7FCB5E84"/>
    <w:rsid w:val="7FCD17FE"/>
    <w:rsid w:val="7FD7E9A0"/>
    <w:rsid w:val="7FE9FBB2"/>
    <w:rsid w:val="8FFFA67E"/>
    <w:rsid w:val="A97F623E"/>
    <w:rsid w:val="AFBF8780"/>
    <w:rsid w:val="BEEFCB4B"/>
    <w:rsid w:val="BFE6F841"/>
    <w:rsid w:val="BFFBDBCA"/>
    <w:rsid w:val="D5DE8897"/>
    <w:rsid w:val="E7FE3684"/>
    <w:rsid w:val="E95E2A0D"/>
    <w:rsid w:val="EFFF70E4"/>
    <w:rsid w:val="F7EEC240"/>
    <w:rsid w:val="FBF75102"/>
    <w:rsid w:val="FDDC5620"/>
    <w:rsid w:val="FDEA700A"/>
    <w:rsid w:val="FFBFCE42"/>
    <w:rsid w:val="FFFF40C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qFormat="1"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60" w:after="60"/>
      <w:jc w:val="both"/>
    </w:pPr>
    <w:rPr>
      <w:rFonts w:ascii="Arial" w:hAnsi="Arial" w:eastAsia="微软雅黑" w:cs="Arial"/>
      <w:color w:val="333333"/>
      <w:kern w:val="2"/>
      <w:sz w:val="22"/>
      <w:szCs w:val="24"/>
      <w:lang w:val="en-US" w:eastAsia="zh-CN" w:bidi="ar-SA"/>
    </w:rPr>
  </w:style>
  <w:style w:type="paragraph" w:styleId="2">
    <w:name w:val="heading 1"/>
    <w:basedOn w:val="1"/>
    <w:next w:val="1"/>
    <w:qFormat/>
    <w:uiPriority w:val="0"/>
    <w:pPr>
      <w:keepNext/>
      <w:keepLines/>
      <w:outlineLvl w:val="0"/>
    </w:pPr>
    <w:rPr>
      <w:b/>
      <w:kern w:val="44"/>
      <w:sz w:val="36"/>
    </w:rPr>
  </w:style>
  <w:style w:type="paragraph" w:styleId="3">
    <w:name w:val="heading 2"/>
    <w:basedOn w:val="1"/>
    <w:next w:val="1"/>
    <w:qFormat/>
    <w:uiPriority w:val="0"/>
    <w:pPr>
      <w:keepNext/>
      <w:keepLines/>
      <w:outlineLvl w:val="1"/>
    </w:pPr>
    <w:rPr>
      <w:b/>
      <w:sz w:val="32"/>
    </w:rPr>
  </w:style>
  <w:style w:type="paragraph" w:styleId="4">
    <w:name w:val="heading 3"/>
    <w:basedOn w:val="1"/>
    <w:next w:val="1"/>
    <w:qFormat/>
    <w:uiPriority w:val="0"/>
    <w:pPr>
      <w:keepNext/>
      <w:keepLines/>
      <w:outlineLvl w:val="2"/>
    </w:pPr>
    <w:rPr>
      <w:b/>
      <w:sz w:val="28"/>
    </w:rPr>
  </w:style>
  <w:style w:type="paragraph" w:styleId="5">
    <w:name w:val="heading 4"/>
    <w:basedOn w:val="1"/>
    <w:next w:val="1"/>
    <w:qFormat/>
    <w:uiPriority w:val="0"/>
    <w:pPr>
      <w:keepNext/>
      <w:keepLines/>
      <w:outlineLvl w:val="3"/>
    </w:pPr>
    <w:rPr>
      <w:b/>
      <w:sz w:val="24"/>
    </w:rPr>
  </w:style>
  <w:style w:type="paragraph" w:styleId="6">
    <w:name w:val="heading 5"/>
    <w:basedOn w:val="1"/>
    <w:next w:val="1"/>
    <w:qFormat/>
    <w:uiPriority w:val="0"/>
    <w:pPr>
      <w:keepNext/>
      <w:keepLines/>
      <w:spacing w:line="480" w:lineRule="auto"/>
      <w:outlineLvl w:val="4"/>
    </w:pPr>
    <w:rPr>
      <w:b/>
    </w:rPr>
  </w:style>
  <w:style w:type="paragraph" w:styleId="7">
    <w:name w:val="heading 6"/>
    <w:basedOn w:val="1"/>
    <w:next w:val="1"/>
    <w:qFormat/>
    <w:uiPriority w:val="0"/>
    <w:pPr>
      <w:keepNext/>
      <w:keepLines/>
      <w:spacing w:line="480" w:lineRule="auto"/>
      <w:outlineLvl w:val="5"/>
    </w:pPr>
    <w:rPr>
      <w:b/>
    </w:rPr>
  </w:style>
  <w:style w:type="paragraph" w:styleId="8">
    <w:name w:val="heading 7"/>
    <w:basedOn w:val="1"/>
    <w:next w:val="1"/>
    <w:unhideWhenUsed/>
    <w:qFormat/>
    <w:uiPriority w:val="0"/>
    <w:pPr>
      <w:keepNext/>
      <w:keepLines/>
      <w:spacing w:line="480" w:lineRule="auto"/>
      <w:outlineLvl w:val="6"/>
    </w:pPr>
    <w:rPr>
      <w:b/>
    </w:rPr>
  </w:style>
  <w:style w:type="paragraph" w:styleId="9">
    <w:name w:val="heading 8"/>
    <w:basedOn w:val="1"/>
    <w:next w:val="1"/>
    <w:unhideWhenUsed/>
    <w:qFormat/>
    <w:uiPriority w:val="0"/>
    <w:pPr>
      <w:keepNext/>
      <w:keepLines/>
      <w:spacing w:line="480" w:lineRule="auto"/>
      <w:outlineLvl w:val="7"/>
    </w:pPr>
    <w:rPr>
      <w:b/>
    </w:rPr>
  </w:style>
  <w:style w:type="paragraph" w:styleId="10">
    <w:name w:val="heading 9"/>
    <w:basedOn w:val="1"/>
    <w:next w:val="1"/>
    <w:unhideWhenUsed/>
    <w:qFormat/>
    <w:uiPriority w:val="0"/>
    <w:pPr>
      <w:keepNext/>
      <w:keepLines/>
      <w:spacing w:line="480" w:lineRule="auto"/>
      <w:outlineLvl w:val="8"/>
    </w:pPr>
    <w:rPr>
      <w:b/>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toc 8"/>
    <w:basedOn w:val="1"/>
    <w:next w:val="1"/>
    <w:autoRedefine/>
    <w:qFormat/>
    <w:uiPriority w:val="99"/>
    <w:pPr>
      <w:ind w:left="2940" w:leftChars="1400"/>
    </w:pPr>
  </w:style>
  <w:style w:type="paragraph" w:styleId="12">
    <w:name w:val="footer"/>
    <w:basedOn w:val="1"/>
    <w:qFormat/>
    <w:uiPriority w:val="0"/>
    <w:pPr>
      <w:tabs>
        <w:tab w:val="center" w:pos="4153"/>
        <w:tab w:val="right" w:pos="8306"/>
      </w:tabs>
      <w:snapToGrid w:val="0"/>
      <w:jc w:val="center"/>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22"/>
    <w:qFormat/>
    <w:uiPriority w:val="0"/>
    <w:pPr>
      <w:jc w:val="center"/>
      <w:outlineLvl w:val="1"/>
    </w:pPr>
    <w:rPr>
      <w:rFonts w:cstheme="minorBidi"/>
      <w:b/>
      <w:bCs/>
      <w:kern w:val="28"/>
      <w:sz w:val="44"/>
      <w:szCs w:val="32"/>
    </w:rPr>
  </w:style>
  <w:style w:type="paragraph" w:styleId="15">
    <w:name w:val="Normal (Web)"/>
    <w:basedOn w:val="1"/>
    <w:qFormat/>
    <w:uiPriority w:val="0"/>
    <w:rPr>
      <w:sz w:val="24"/>
    </w:rPr>
  </w:style>
  <w:style w:type="paragraph" w:styleId="16">
    <w:name w:val="Title"/>
    <w:basedOn w:val="1"/>
    <w:next w:val="1"/>
    <w:link w:val="21"/>
    <w:qFormat/>
    <w:uiPriority w:val="0"/>
    <w:pPr>
      <w:jc w:val="center"/>
      <w:outlineLvl w:val="0"/>
    </w:pPr>
    <w:rPr>
      <w:rFonts w:cstheme="majorBidi"/>
      <w:b/>
      <w:bCs/>
      <w:sz w:val="48"/>
      <w:szCs w:val="32"/>
    </w:rPr>
  </w:style>
  <w:style w:type="table" w:styleId="18">
    <w:name w:val="Table Grid"/>
    <w:basedOn w:val="17"/>
    <w:qFormat/>
    <w:uiPriority w:val="0"/>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0">
    <w:name w:val="Hyperlink"/>
    <w:basedOn w:val="19"/>
    <w:qFormat/>
    <w:uiPriority w:val="0"/>
    <w:rPr>
      <w:color w:val="1E6FFF"/>
      <w:u w:val="single"/>
    </w:rPr>
  </w:style>
  <w:style w:type="character" w:customStyle="1" w:styleId="21">
    <w:name w:val="标题 字符"/>
    <w:basedOn w:val="19"/>
    <w:link w:val="16"/>
    <w:qFormat/>
    <w:uiPriority w:val="0"/>
    <w:rPr>
      <w:rFonts w:ascii="Arial" w:hAnsi="Arial" w:eastAsia="微软雅黑" w:cstheme="majorBidi"/>
      <w:b/>
      <w:bCs/>
      <w:kern w:val="2"/>
      <w:sz w:val="48"/>
      <w:szCs w:val="32"/>
    </w:rPr>
  </w:style>
  <w:style w:type="character" w:customStyle="1" w:styleId="22">
    <w:name w:val="副标题 字符"/>
    <w:basedOn w:val="19"/>
    <w:link w:val="14"/>
    <w:qFormat/>
    <w:uiPriority w:val="0"/>
    <w:rPr>
      <w:rFonts w:ascii="Arial" w:hAnsi="Arial" w:eastAsia="微软雅黑" w:cstheme="minorBidi"/>
      <w:b/>
      <w:bCs/>
      <w:kern w:val="28"/>
      <w:sz w:val="44"/>
      <w:szCs w:val="32"/>
    </w:rPr>
  </w:style>
  <w:style w:type="character" w:customStyle="1" w:styleId="23">
    <w:name w:val="melo-codeblock-Base-theme-char"/>
    <w:qFormat/>
    <w:uiPriority w:val="99"/>
    <w:rPr>
      <w:rFonts w:ascii="Monaco" w:hAnsi="Monaco" w:eastAsia="Monaco" w:cs="Monaco"/>
      <w:color w:val="000000"/>
      <w:sz w:val="21"/>
    </w:rPr>
  </w:style>
  <w:style w:type="paragraph" w:customStyle="1" w:styleId="24">
    <w:name w:val="melo-codeblock-Base-theme-para"/>
    <w:qFormat/>
    <w:uiPriority w:val="99"/>
    <w:pPr>
      <w:snapToGrid w:val="0"/>
      <w:spacing w:line="360" w:lineRule="auto"/>
    </w:pPr>
    <w:rPr>
      <w:rFonts w:ascii="Monaco" w:hAnsi="Monaco" w:eastAsia="Monaco" w:cs="Monaco"/>
      <w:color w:val="000000"/>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1860</Words>
  <Characters>1882</Characters>
  <TotalTime>15</TotalTime>
  <ScaleCrop>false</ScaleCrop>
  <LinksUpToDate>false</LinksUpToDate>
  <CharactersWithSpaces>1896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2026-01-22T16:10:00Z</dcterms:created>
  <dc:creator>Administrator</dc:creator>
  <cp:lastModifiedBy>十一</cp:lastModifiedBy>
  <dcterms:modified xsi:type="dcterms:W3CDTF">2026-05-20T01:19:18Z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eyJoZGlkIjoiYWQ1MTI2YTRmMDk2MThiMmQ2MzE1ZjBjYzExZDIyMjEiLCJ1c2VySWQiOiI3MjI3NDUwNTIifQ==</vt:lpwstr>
  </property>
  <property fmtid="{D5CDD505-2E9C-101B-9397-08002B2CF9AE}" pid="3" name="KSOProductBuildVer">
    <vt:lpwstr>2052-12.1.0.26375</vt:lpwstr>
  </property>
  <property fmtid="{D5CDD505-2E9C-101B-9397-08002B2CF9AE}" pid="4" name="ICV">
    <vt:lpwstr>8515121BBBC046A3A89DEC26588691F3_12</vt:lpwstr>
  </property>
</Properties>
</file>